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3" w:after="21"/>
        <w:ind w:left="3483" w:right="3466"/>
        <w:jc w:val="center"/>
        <w:rPr>
          <w:sz w:val="18"/>
        </w:rPr>
      </w:pPr>
      <w:r>
        <w:rPr>
          <w:sz w:val="18"/>
        </w:rPr>
        <w:t>中国心理学会临床心理学注册工作委员会制</w:t>
      </w:r>
    </w:p>
    <w:p>
      <w:pPr>
        <w:pStyle w:val="2"/>
        <w:spacing w:line="20" w:lineRule="exact"/>
        <w:ind w:left="214"/>
        <w:rPr>
          <w:sz w:val="2"/>
        </w:rPr>
      </w:pPr>
      <w:r>
        <w:rPr>
          <w:sz w:val="2"/>
        </w:rPr>
        <w:pict>
          <v:group id="_x0000_s1026" o:spid="_x0000_s1026" o:spt="203" style="height:0.75pt;width:499.1pt;" coordsize="9982,15">
            <o:lock v:ext="edit"/>
            <v:line id="_x0000_s1027" o:spid="_x0000_s1027" o:spt="20" style="position:absolute;left:0;top:7;height:0;width:9982;" coordsize="21600,21600">
              <v:path arrowok="t"/>
              <v:fill focussize="0,0"/>
              <v:stroke weight="0.72pt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2"/>
        <w:spacing w:before="11"/>
        <w:rPr>
          <w:sz w:val="19"/>
        </w:rPr>
      </w:pPr>
    </w:p>
    <w:p>
      <w:pPr>
        <w:spacing w:before="54"/>
        <w:ind w:left="3483" w:right="3461"/>
        <w:jc w:val="center"/>
        <w:rPr>
          <w:rFonts w:ascii="Times New Roman" w:eastAsia="Times New Roman"/>
          <w:sz w:val="21"/>
        </w:rPr>
      </w:pPr>
      <w:r>
        <w:rPr>
          <w:b/>
          <w:sz w:val="32"/>
        </w:rPr>
        <w:t>心理咨询初始访谈表</w:t>
      </w:r>
      <w:r>
        <w:rPr>
          <w:rFonts w:ascii="Times New Roman" w:eastAsia="Times New Roman"/>
          <w:sz w:val="21"/>
        </w:rPr>
        <w:t>*</w:t>
      </w:r>
    </w:p>
    <w:p>
      <w:pPr>
        <w:pStyle w:val="2"/>
        <w:tabs>
          <w:tab w:val="left" w:pos="1427"/>
          <w:tab w:val="left" w:pos="2495"/>
          <w:tab w:val="left" w:pos="3355"/>
          <w:tab w:val="left" w:pos="4800"/>
          <w:tab w:val="left" w:pos="6290"/>
          <w:tab w:val="left" w:pos="6814"/>
          <w:tab w:val="left" w:pos="7339"/>
          <w:tab w:val="left" w:pos="7865"/>
          <w:tab w:val="left" w:pos="8391"/>
          <w:tab w:val="left" w:pos="9442"/>
          <w:tab w:val="left" w:pos="9965"/>
        </w:tabs>
        <w:spacing w:before="132"/>
        <w:ind w:left="251"/>
      </w:pPr>
      <w:r>
        <w:t>学号</w:t>
      </w:r>
      <w:r>
        <w:rPr>
          <w:u w:val="single"/>
        </w:rPr>
        <w:t>：</w:t>
      </w:r>
      <w:r>
        <w:rPr>
          <w:spacing w:val="-3"/>
        </w:rPr>
        <w:t>姓</w:t>
      </w:r>
      <w:r>
        <w:t>名</w:t>
      </w:r>
      <w:r>
        <w:rPr>
          <w:u w:val="single"/>
        </w:rPr>
        <w:t>：</w:t>
      </w:r>
      <w:r>
        <w:rPr>
          <w:spacing w:val="-3"/>
        </w:rPr>
        <w:t>性</w:t>
      </w:r>
      <w:r>
        <w:t>别</w:t>
      </w:r>
      <w:r>
        <w:rPr>
          <w:u w:val="single"/>
        </w:rPr>
        <w:t>：</w:t>
      </w:r>
      <w:r>
        <w:t>咨</w:t>
      </w:r>
      <w:r>
        <w:rPr>
          <w:spacing w:val="-3"/>
        </w:rPr>
        <w:t>询</w:t>
      </w:r>
      <w:r>
        <w:t>方</w:t>
      </w:r>
      <w:r>
        <w:rPr>
          <w:spacing w:val="-3"/>
        </w:rPr>
        <w:t>式</w:t>
      </w:r>
      <w:r>
        <w:t>：时</w:t>
      </w:r>
      <w:r>
        <w:rPr>
          <w:spacing w:val="-3"/>
        </w:rPr>
        <w:t>间</w:t>
      </w:r>
      <w:r>
        <w:t>：</w:t>
      </w:r>
      <w:r>
        <w:rPr>
          <w:spacing w:val="-3"/>
        </w:rPr>
        <w:t>年</w:t>
      </w:r>
      <w:r>
        <w:rPr>
          <w:spacing w:val="-3"/>
          <w:u w:val="single"/>
        </w:rPr>
        <w:t xml:space="preserve"> </w:t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时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分——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时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分</w:t>
      </w:r>
    </w:p>
    <w:p>
      <w:pPr>
        <w:pStyle w:val="2"/>
        <w:spacing w:before="4"/>
        <w:rPr>
          <w:sz w:val="26"/>
        </w:rPr>
      </w:pPr>
    </w:p>
    <w:tbl>
      <w:tblPr>
        <w:tblStyle w:val="5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0" w:hRule="atLeast"/>
        </w:trPr>
        <w:tc>
          <w:tcPr>
            <w:tcW w:w="10174" w:type="dxa"/>
          </w:tcPr>
          <w:p>
            <w:pPr>
              <w:pStyle w:val="7"/>
              <w:spacing w:before="25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ascii="Times New Roman" w:eastAsia="Times New Roman"/>
                <w:sz w:val="21"/>
              </w:rPr>
              <w:t>1.</w:t>
            </w:r>
            <w:r>
              <w:rPr>
                <w:sz w:val="21"/>
              </w:rPr>
              <w:t>来访者主要困扰</w:t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pStyle w:val="7"/>
              <w:spacing w:before="25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0174" w:type="dxa"/>
          </w:tcPr>
          <w:p>
            <w:pPr>
              <w:pStyle w:val="7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/>
                <w:sz w:val="21"/>
              </w:rPr>
              <w:t>2.</w:t>
            </w:r>
            <w:r>
              <w:rPr>
                <w:sz w:val="21"/>
              </w:rPr>
              <w:t>来访者基本情况（重大生活事件，家庭状况，人际关系状况，学习状况，恋爱状况等）</w:t>
            </w:r>
          </w:p>
          <w:p>
            <w:pPr>
              <w:pStyle w:val="7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0174" w:type="dxa"/>
          </w:tcPr>
          <w:p>
            <w:pPr>
              <w:pStyle w:val="7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w:t>3.来访者认知、情感、行为及社会功能的基本状况</w:t>
            </w: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0174" w:type="dxa"/>
          </w:tcPr>
          <w:p>
            <w:pPr>
              <w:pStyle w:val="7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4.来访者主要社会支持和应对方式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74" w:hRule="atLeast"/>
        </w:trPr>
        <w:tc>
          <w:tcPr>
            <w:tcW w:w="10174" w:type="dxa"/>
          </w:tcPr>
          <w:p>
            <w:pPr>
              <w:pStyle w:val="7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ascii="Times New Roman" w:eastAsia="Times New Roman"/>
                <w:sz w:val="21"/>
              </w:rPr>
              <w:t>5.</w:t>
            </w:r>
            <w:r>
              <w:rPr>
                <w:sz w:val="21"/>
              </w:rPr>
              <w:t>来访者既往咨询（求助）史、精神疾病史和就诊、服药情况</w:t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71" w:hRule="atLeast"/>
        </w:trPr>
        <w:tc>
          <w:tcPr>
            <w:tcW w:w="10174" w:type="dxa"/>
          </w:tcPr>
          <w:p>
            <w:pPr>
              <w:pStyle w:val="7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ascii="Times New Roman" w:eastAsia="Times New Roman"/>
                <w:sz w:val="21"/>
              </w:rPr>
              <w:t>6.</w:t>
            </w:r>
            <w:r>
              <w:rPr>
                <w:sz w:val="21"/>
              </w:rPr>
              <w:t>来访者心理测试结果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92" w:hRule="atLeast"/>
        </w:trPr>
        <w:tc>
          <w:tcPr>
            <w:tcW w:w="10174" w:type="dxa"/>
          </w:tcPr>
          <w:p>
            <w:pPr>
              <w:pStyle w:val="7"/>
              <w:spacing w:before="25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7.危机评估情况（自伤、自杀或伤害他人情况）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83" w:hRule="atLeast"/>
        </w:trPr>
        <w:tc>
          <w:tcPr>
            <w:tcW w:w="10174" w:type="dxa"/>
          </w:tcPr>
          <w:p>
            <w:pPr>
              <w:pStyle w:val="7"/>
              <w:rPr>
                <w:sz w:val="21"/>
              </w:rPr>
            </w:pPr>
            <w:r>
              <w:rPr>
                <w:sz w:val="21"/>
              </w:rPr>
              <w:t>处理建议：</w:t>
            </w:r>
          </w:p>
          <w:p>
            <w:pPr>
              <w:pStyle w:val="7"/>
              <w:tabs>
                <w:tab w:val="left" w:pos="1790"/>
                <w:tab w:val="left" w:pos="3679"/>
                <w:tab w:val="left" w:pos="5148"/>
                <w:tab w:val="left" w:pos="6514"/>
              </w:tabs>
              <w:spacing w:before="43"/>
              <w:rPr>
                <w:sz w:val="21"/>
              </w:rPr>
            </w:pPr>
            <w:r>
              <w:rPr>
                <w:sz w:val="21"/>
              </w:rPr>
              <w:t>危机</w:t>
            </w:r>
            <w:r>
              <w:rPr>
                <w:spacing w:val="-3"/>
                <w:sz w:val="21"/>
              </w:rPr>
              <w:t>程</w:t>
            </w:r>
            <w:r>
              <w:rPr>
                <w:sz w:val="21"/>
              </w:rPr>
              <w:t>度：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无危</w:t>
            </w:r>
            <w:r>
              <w:rPr>
                <w:sz w:val="21"/>
              </w:rPr>
              <w:t>机/低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中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高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极高</w:t>
            </w:r>
          </w:p>
          <w:p>
            <w:pPr>
              <w:pStyle w:val="7"/>
              <w:tabs>
                <w:tab w:val="left" w:pos="1790"/>
                <w:tab w:val="left" w:pos="3679"/>
                <w:tab w:val="left" w:pos="4834"/>
                <w:tab w:val="left" w:pos="5148"/>
                <w:tab w:val="left" w:pos="6514"/>
                <w:tab w:val="left" w:pos="7822"/>
              </w:tabs>
              <w:spacing w:before="43" w:line="278" w:lineRule="auto"/>
              <w:ind w:right="286"/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下一</w:t>
            </w:r>
            <w:r>
              <w:rPr>
                <w:spacing w:val="-3"/>
                <w:sz w:val="21"/>
              </w:rPr>
              <w:t>步</w:t>
            </w:r>
            <w:r>
              <w:rPr>
                <w:sz w:val="21"/>
              </w:rPr>
              <w:t>工</w:t>
            </w:r>
            <w:r>
              <w:rPr>
                <w:spacing w:val="-3"/>
                <w:sz w:val="21"/>
              </w:rPr>
              <w:t>作</w:t>
            </w:r>
            <w:r>
              <w:rPr>
                <w:sz w:val="21"/>
              </w:rPr>
              <w:t>建</w:t>
            </w:r>
            <w:r>
              <w:rPr>
                <w:spacing w:val="-3"/>
                <w:sz w:val="21"/>
              </w:rPr>
              <w:t>议</w:t>
            </w:r>
            <w:r>
              <w:rPr>
                <w:sz w:val="21"/>
              </w:rPr>
              <w:t>：□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启动</w:t>
            </w:r>
            <w:r>
              <w:rPr>
                <w:sz w:val="21"/>
              </w:rPr>
              <w:t>危机</w:t>
            </w:r>
            <w:r>
              <w:rPr>
                <w:spacing w:val="-3"/>
                <w:sz w:val="21"/>
              </w:rPr>
              <w:t>干</w:t>
            </w:r>
            <w:r>
              <w:rPr>
                <w:sz w:val="21"/>
              </w:rPr>
              <w:t>预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优</w:t>
            </w:r>
            <w:r>
              <w:rPr>
                <w:spacing w:val="-3"/>
                <w:sz w:val="21"/>
              </w:rPr>
              <w:t>先</w:t>
            </w:r>
            <w:r>
              <w:rPr>
                <w:sz w:val="21"/>
              </w:rPr>
              <w:t>咨询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正</w:t>
            </w:r>
            <w:r>
              <w:rPr>
                <w:spacing w:val="-3"/>
                <w:sz w:val="21"/>
              </w:rPr>
              <w:t>常</w:t>
            </w:r>
            <w:r>
              <w:rPr>
                <w:sz w:val="21"/>
              </w:rPr>
              <w:t>咨询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暂</w:t>
            </w:r>
            <w:r>
              <w:rPr>
                <w:spacing w:val="-3"/>
                <w:sz w:val="21"/>
              </w:rPr>
              <w:t>缓</w:t>
            </w:r>
            <w:r>
              <w:rPr>
                <w:sz w:val="21"/>
              </w:rPr>
              <w:t>预约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如</w:t>
            </w:r>
            <w:r>
              <w:rPr>
                <w:spacing w:val="-3"/>
                <w:sz w:val="21"/>
              </w:rPr>
              <w:t>就</w:t>
            </w:r>
            <w:r>
              <w:rPr>
                <w:sz w:val="21"/>
              </w:rPr>
              <w:t>医）</w:t>
            </w:r>
            <w:r>
              <w:rPr>
                <w:sz w:val="21"/>
              </w:rPr>
              <w:sym w:font="Wingdings 2" w:char="00A3"/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暂</w:t>
            </w:r>
            <w:r>
              <w:rPr>
                <w:spacing w:val="-3"/>
                <w:sz w:val="21"/>
              </w:rPr>
              <w:t>不预</w:t>
            </w:r>
            <w:r>
              <w:rPr>
                <w:spacing w:val="-12"/>
                <w:sz w:val="21"/>
              </w:rPr>
              <w:t>约</w:t>
            </w:r>
            <w:r>
              <w:rPr>
                <w:sz w:val="21"/>
              </w:rPr>
              <w:t>医学</w:t>
            </w:r>
            <w:r>
              <w:rPr>
                <w:spacing w:val="-3"/>
                <w:sz w:val="21"/>
              </w:rPr>
              <w:t>转</w:t>
            </w:r>
            <w:r>
              <w:rPr>
                <w:sz w:val="21"/>
              </w:rPr>
              <w:t>介：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转介</w:t>
            </w:r>
            <w:r>
              <w:rPr>
                <w:spacing w:val="-3"/>
                <w:sz w:val="21"/>
              </w:rPr>
              <w:t>机</w:t>
            </w:r>
            <w:r>
              <w:rPr>
                <w:sz w:val="21"/>
              </w:rPr>
              <w:t>构</w:t>
            </w:r>
            <w:r>
              <w:rPr>
                <w:spacing w:val="-3"/>
                <w:sz w:val="21"/>
              </w:rPr>
              <w:t>及</w:t>
            </w:r>
            <w:r>
              <w:rPr>
                <w:sz w:val="21"/>
              </w:rPr>
              <w:t>理由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  <w:p>
            <w:pPr>
              <w:pStyle w:val="7"/>
              <w:spacing w:before="0" w:line="269" w:lineRule="exact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其他备注：</w:t>
            </w:r>
            <w:r>
              <w:rPr>
                <w:rFonts w:hint="eastAsia"/>
                <w:sz w:val="28"/>
                <w:szCs w:val="28"/>
                <w:lang w:eastAsia="zh-CN"/>
              </w:rPr>
              <w:t>无法正常在校学习</w:t>
            </w:r>
          </w:p>
        </w:tc>
      </w:tr>
    </w:tbl>
    <w:p>
      <w:pPr>
        <w:pStyle w:val="2"/>
        <w:spacing w:before="1"/>
        <w:rPr>
          <w:sz w:val="26"/>
        </w:rPr>
      </w:pPr>
    </w:p>
    <w:p>
      <w:pPr>
        <w:pStyle w:val="2"/>
        <w:ind w:right="1749"/>
        <w:jc w:val="right"/>
        <w:rPr>
          <w:rFonts w:hint="eastAsia" w:eastAsia="宋体"/>
          <w:lang w:eastAsia="zh-CN"/>
        </w:rPr>
      </w:pPr>
      <w:r>
        <w:t>咨询师签名：</w:t>
      </w:r>
    </w:p>
    <w:p>
      <w:pPr>
        <w:pStyle w:val="2"/>
        <w:rPr>
          <w:sz w:val="29"/>
        </w:rPr>
      </w:pPr>
    </w:p>
    <w:p>
      <w:pPr>
        <w:ind w:left="251"/>
        <w:rPr>
          <w:sz w:val="18"/>
        </w:rPr>
      </w:pPr>
      <w:r>
        <w:rPr>
          <w:rFonts w:ascii="Times New Roman" w:eastAsia="Times New Roman"/>
          <w:sz w:val="18"/>
        </w:rPr>
        <w:t>*</w:t>
      </w:r>
      <w:r>
        <w:rPr>
          <w:sz w:val="18"/>
        </w:rPr>
        <w:t>如果咨询中心没有初始访谈工作流程，首次咨询应有初始评估功能。</w:t>
      </w:r>
      <w:bookmarkStart w:id="0" w:name="_GoBack"/>
      <w:bookmarkEnd w:id="0"/>
    </w:p>
    <w:sectPr>
      <w:type w:val="continuous"/>
      <w:pgSz w:w="11910" w:h="16840"/>
      <w:pgMar w:top="780" w:right="760" w:bottom="280" w:left="7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3286F"/>
    <w:rsid w:val="00BF29C6"/>
    <w:rsid w:val="00C3286F"/>
    <w:rsid w:val="13D414A8"/>
    <w:rsid w:val="504D490D"/>
    <w:rsid w:val="54C8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22"/>
      <w:ind w:left="107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4</TotalTime>
  <ScaleCrop>false</ScaleCrop>
  <LinksUpToDate>false</LinksUpToDate>
  <CharactersWithSpaces>425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2021-10-18T10:49:00Z</dcterms:created>
  <dc:creator>Windows 用户</dc:creator>
  <cp:lastModifiedBy>明志</cp:lastModifiedBy>
  <cp:lastPrinted>2021-10-21T01:51:00Z</cp:lastPrinted>
  <dcterms:modified xsi:type="dcterms:W3CDTF">2021-10-22T03:07:00Z</dcterms:modified>
  <dc:title>桂林医学院心理健康教育与咨询中心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2021-10-18T00:00:00Z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0D215B801E9C480EA32A169A8D67A101</vt:lpwstr>
  </property>
</Properties>
</file>